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168EE" w14:textId="77777777" w:rsidR="00EA0CF8" w:rsidRPr="00EA0CF8" w:rsidRDefault="00EA0CF8" w:rsidP="00573EE2">
      <w:pPr>
        <w:pStyle w:val="Heading1"/>
        <w:rPr>
          <w:rFonts w:ascii="Times New Roman" w:hAnsi="Times New Roman"/>
        </w:rPr>
      </w:pPr>
      <w:r w:rsidRPr="00EA0CF8">
        <w:t xml:space="preserve">Comparison of T01A and T01G Reports – </w:t>
      </w:r>
      <w:proofErr w:type="spellStart"/>
      <w:r w:rsidRPr="00EA0CF8">
        <w:t>Mapua</w:t>
      </w:r>
      <w:proofErr w:type="spellEnd"/>
      <w:r w:rsidRPr="00EA0CF8">
        <w:t xml:space="preserve"> Boat Ramp Project</w:t>
      </w:r>
    </w:p>
    <w:p w14:paraId="1053537F" w14:textId="77777777" w:rsidR="00EA0CF8" w:rsidRPr="00EA0CF8" w:rsidRDefault="00EA0CF8" w:rsidP="00EA0CF8">
      <w:pPr>
        <w:spacing w:after="180" w:line="240" w:lineRule="auto"/>
        <w:rPr>
          <w:rFonts w:ascii="Times New Roman" w:hAnsi="Times New Roman" w:cs="Times New Roman"/>
          <w:color w:val="000000"/>
          <w:kern w:val="0"/>
          <w:sz w:val="18"/>
          <w:szCs w:val="18"/>
          <w14:ligatures w14:val="none"/>
        </w:rPr>
      </w:pPr>
    </w:p>
    <w:p w14:paraId="67B6EB3A" w14:textId="77777777" w:rsidR="00EA0CF8" w:rsidRPr="00EA0CF8" w:rsidRDefault="00EA0CF8" w:rsidP="00EA0CF8">
      <w:pPr>
        <w:spacing w:after="224" w:line="240" w:lineRule="auto"/>
        <w:rPr>
          <w:rFonts w:ascii="Times New Roman" w:hAnsi="Times New Roman" w:cs="Times New Roman"/>
          <w:color w:val="000000"/>
          <w:kern w:val="0"/>
          <w:sz w:val="27"/>
          <w:szCs w:val="27"/>
          <w14:ligatures w14:val="none"/>
        </w:rPr>
      </w:pPr>
      <w:r w:rsidRPr="00EA0CF8">
        <w:rPr>
          <w:rFonts w:ascii="TimesNewRomanPS-BoldMT" w:hAnsi="TimesNewRomanPS-BoldMT" w:cs="Times New Roman"/>
          <w:b/>
          <w:bCs/>
          <w:color w:val="000000"/>
          <w:kern w:val="0"/>
          <w:sz w:val="27"/>
          <w:szCs w:val="27"/>
          <w14:ligatures w14:val="none"/>
        </w:rPr>
        <w:t>Contamination Levels</w:t>
      </w:r>
    </w:p>
    <w:p w14:paraId="6F6B03D5" w14:textId="77777777" w:rsidR="00EA0CF8" w:rsidRPr="00EA0CF8" w:rsidRDefault="00EA0CF8" w:rsidP="00EA0CF8">
      <w:pPr>
        <w:spacing w:after="180" w:line="240" w:lineRule="auto"/>
        <w:rPr>
          <w:rFonts w:ascii="Times New Roman" w:hAnsi="Times New Roman" w:cs="Times New Roman"/>
          <w:color w:val="000000"/>
          <w:kern w:val="0"/>
          <w:sz w:val="18"/>
          <w:szCs w:val="18"/>
          <w14:ligatures w14:val="none"/>
        </w:rPr>
      </w:pPr>
    </w:p>
    <w:p w14:paraId="777EF491" w14:textId="77777777" w:rsidR="00EA0CF8" w:rsidRPr="00EA0CF8" w:rsidRDefault="00EA0CF8" w:rsidP="00EA0CF8">
      <w:pPr>
        <w:spacing w:after="180" w:line="240" w:lineRule="auto"/>
        <w:rPr>
          <w:rFonts w:ascii="Times New Roman" w:hAnsi="Times New Roman" w:cs="Times New Roman"/>
          <w:color w:val="000000"/>
          <w:kern w:val="0"/>
          <w:sz w:val="18"/>
          <w:szCs w:val="18"/>
          <w14:ligatures w14:val="none"/>
        </w:rPr>
      </w:pPr>
    </w:p>
    <w:p w14:paraId="5C7957FC" w14:textId="2EB8DF54" w:rsidR="00EA0CF8" w:rsidRPr="00EA0CF8" w:rsidRDefault="00EA0CF8" w:rsidP="00573EE2">
      <w:r w:rsidRPr="00EA0CF8">
        <w:t xml:space="preserve">T01A (Jan 2025): This earlier report acknowledged that the site is a known contaminated (HAIL) site but provided limited detail on specific contaminants. It noted the historical use of the land (the former </w:t>
      </w:r>
      <w:proofErr w:type="spellStart"/>
      <w:r w:rsidRPr="00EA0CF8">
        <w:t>Fruitgrowers</w:t>
      </w:r>
      <w:proofErr w:type="spellEnd"/>
      <w:r w:rsidRPr="00EA0CF8">
        <w:t xml:space="preserve"> Chemical Company site) and indicated that residual pesticide contamination (notably DDT) was a concern. For instance, T01A mentions that if stormwater from the construction site still contains DDT above acceptable ecological criteria, it would require special treatment. However, T01A did not quantify contaminant concentrations or list many contaminants by name (</w:t>
      </w:r>
      <w:proofErr w:type="spellStart"/>
      <w:r w:rsidRPr="00EA0CF8">
        <w:t>dieldrin</w:t>
      </w:r>
      <w:proofErr w:type="spellEnd"/>
      <w:r w:rsidRPr="00EA0CF8">
        <w:t xml:space="preserve">, heavy metals, etc.) z– it primarily flagged the potential presence of DDT in water and stressed the need to prevent any contaminated runoff. In summary, T01A </w:t>
      </w:r>
      <w:proofErr w:type="spellStart"/>
      <w:r w:rsidRPr="00EA0CF8">
        <w:t>recognized</w:t>
      </w:r>
      <w:proofErr w:type="spellEnd"/>
      <w:r w:rsidRPr="00EA0CF8">
        <w:t xml:space="preserve"> contamination in general terms but had no new sampling data; it relied on prior knowledge that organochlorine pesticide residues (from past site usage) persist on site.</w:t>
      </w:r>
    </w:p>
    <w:p w14:paraId="36313B62" w14:textId="77777777" w:rsidR="00EA0CF8" w:rsidRPr="00EA0CF8" w:rsidRDefault="00EA0CF8" w:rsidP="00EA0CF8">
      <w:pPr>
        <w:spacing w:after="180" w:line="240" w:lineRule="auto"/>
        <w:rPr>
          <w:rFonts w:ascii="Times New Roman" w:hAnsi="Times New Roman" w:cs="Times New Roman"/>
          <w:color w:val="000000"/>
          <w:kern w:val="0"/>
          <w:sz w:val="18"/>
          <w:szCs w:val="18"/>
          <w14:ligatures w14:val="none"/>
        </w:rPr>
      </w:pPr>
    </w:p>
    <w:p w14:paraId="19BFFA77" w14:textId="77777777" w:rsidR="00EA0CF8" w:rsidRPr="00EA0CF8" w:rsidRDefault="00EA0CF8" w:rsidP="00EC21F1">
      <w:r w:rsidRPr="00EA0CF8">
        <w:t>T01G (Apr 2025): The supplementary DSI greatly expanded on contaminant details with fresh investigation results. T01G conducted soil and sediment sampling and identified which contaminants and at what levels they are present. It found that total DDT concentrations in nearly all sediment samples were well above relevant guidelines, exceeding the ANZG (Australia/New Zealand) high sediment quality guideline in all but one sample. T01G also reported that combined aldrin/</w:t>
      </w:r>
      <w:proofErr w:type="spellStart"/>
      <w:r w:rsidRPr="00EA0CF8">
        <w:t>dieldrin</w:t>
      </w:r>
      <w:proofErr w:type="spellEnd"/>
      <w:r w:rsidRPr="00EA0CF8">
        <w:t xml:space="preserve"> levels in a majority of samples exceeded guideline values (particularly in deeper sediments ~0.4 m and below). In addition, T01G included a full analysis of heavy metals (arsenic, cadmium, chromium, copper, lead, nickel, zinc). The heavy metal results were generally low; while a few metals (e.g. chromium, nickel) showed elevated readings, these were noted as likely reflecting natural background levels in local soils rather than significant contamination. Overall, T01G revealed a more comprehensive contamination profile: confirming that persistent organochlorine pesticides (DDT and its derivatives, plus </w:t>
      </w:r>
      <w:proofErr w:type="spellStart"/>
      <w:r w:rsidRPr="00EA0CF8">
        <w:t>dieldrin</w:t>
      </w:r>
      <w:proofErr w:type="spellEnd"/>
      <w:r w:rsidRPr="00EA0CF8">
        <w:t>) are present at elevated concentrations, whereas T01A had only broadly alluded to such contaminants without data. This represents a significant update – T01G provided quantitative evidence of contamination that T01A did not include.</w:t>
      </w:r>
    </w:p>
    <w:p w14:paraId="74F8753A" w14:textId="77777777" w:rsidR="00EA0CF8" w:rsidRPr="00EA0CF8" w:rsidRDefault="00EA0CF8" w:rsidP="00EC21F1"/>
    <w:p w14:paraId="7AB635A4" w14:textId="77777777" w:rsidR="00EA0CF8" w:rsidRPr="00EA0CF8" w:rsidRDefault="00EA0CF8" w:rsidP="00EC21F1"/>
    <w:p w14:paraId="3B34D348" w14:textId="77777777" w:rsidR="00EA0CF8" w:rsidRPr="00EA0CF8" w:rsidRDefault="00EA0CF8" w:rsidP="00EC21F1">
      <w:pPr>
        <w:rPr>
          <w:sz w:val="27"/>
          <w:szCs w:val="27"/>
        </w:rPr>
      </w:pPr>
      <w:r w:rsidRPr="00EA0CF8">
        <w:rPr>
          <w:rFonts w:ascii="TimesNewRomanPS-BoldMT" w:hAnsi="TimesNewRomanPS-BoldMT"/>
          <w:b/>
          <w:bCs/>
          <w:sz w:val="27"/>
          <w:szCs w:val="27"/>
        </w:rPr>
        <w:lastRenderedPageBreak/>
        <w:t>Methodologies</w:t>
      </w:r>
    </w:p>
    <w:p w14:paraId="749A50FD" w14:textId="77777777" w:rsidR="00EA0CF8" w:rsidRPr="00EA0CF8" w:rsidRDefault="00EA0CF8" w:rsidP="00EC21F1"/>
    <w:p w14:paraId="5F21DFF6" w14:textId="77777777" w:rsidR="00EA0CF8" w:rsidRPr="00EA0CF8" w:rsidRDefault="00EA0CF8" w:rsidP="00EC21F1"/>
    <w:p w14:paraId="3199C958" w14:textId="77777777" w:rsidR="00EA0CF8" w:rsidRPr="00EA0CF8" w:rsidRDefault="00EA0CF8" w:rsidP="00EC21F1">
      <w:r w:rsidRPr="00EA0CF8">
        <w:t>T01A: The methodology in T01A focused on construction procedures and control measures rather than contaminant testing. It outlined how the boat ramp and associated works would be built in stages with careful management of sediments. For example, T01A described staged excavation and fill placement (e.g. installing a reno mattress foundation for the ramp at low tide, placing concrete panels, etc.) and measures to keep the work area isolated and dry during tidal cycles. The emphasis was on practical steps to prevent erosion and sediment dispersal: diverting clean stormwater away from disturbed areas, containing “dirty” (sediment-laden) water on-site, and treating water before discharge. Because T01A was essentially an Erosion and Sediment Control Plan, it did not involve new environmental sampling – instead, it referenced that a Detailed Site Investigation had been done separately and then focused on construction-phase mitigation. In short, T01A’s “methodology” refers to the construction methodology and sediment control practices (following regional guidelines from TDC/Nelson 2019 for erosion and sediment control), not an investigative sampling method.</w:t>
      </w:r>
    </w:p>
    <w:p w14:paraId="73CDFACD" w14:textId="77777777" w:rsidR="00EA0CF8" w:rsidRPr="00EA0CF8" w:rsidRDefault="00EA0CF8" w:rsidP="00EC21F1"/>
    <w:p w14:paraId="401B6F67" w14:textId="77777777" w:rsidR="00EA0CF8" w:rsidRPr="00EA0CF8" w:rsidRDefault="00EA0CF8" w:rsidP="00EC21F1">
      <w:r w:rsidRPr="00EA0CF8">
        <w:t xml:space="preserve">T01G: The methodology in T01G was entirely different, as it detailed the investigative procedures to assess contamination. T01G described conducting a Supplemental Detailed Site Investigation, which included: a site walkover, and excavation of five shallow test pits (by hand) up to ~0.5 m deep in the areas where the boat ramp earthworks were planned. Soil samples were collected from various depths/horizons in each test pit (with attention to any visual or </w:t>
      </w:r>
      <w:proofErr w:type="spellStart"/>
      <w:r w:rsidRPr="00EA0CF8">
        <w:t>odor</w:t>
      </w:r>
      <w:proofErr w:type="spellEnd"/>
      <w:r w:rsidRPr="00EA0CF8">
        <w:t xml:space="preserve"> signs of contamination). The report notes that standard protocols were followed – soils were logged according to NZ Geotechnical Society guidelines and samples were collected in line with MfE Contaminated Land Management guidelines by trained personnel. T01G then performed laboratory analysis on selected samples for a broad suite of contaminants: a heavy metals suite (As, Cd, Cr, Cu, Pb, Ni, Zn) and a range of organochlorine pesticides (including DDT and its breakdown products, plus aldrin/</w:t>
      </w:r>
      <w:proofErr w:type="spellStart"/>
      <w:r w:rsidRPr="00EA0CF8">
        <w:t>dieldrin</w:t>
      </w:r>
      <w:proofErr w:type="spellEnd"/>
      <w:r w:rsidRPr="00EA0CF8">
        <w:t xml:space="preserve">). This is a key difference: unlike T01A, which had no new sampling, T01G applied a rigorous environmental sampling and testing methodology. The laboratory methods and quality controls are described in T01G’s appendices (including </w:t>
      </w:r>
      <w:proofErr w:type="spellStart"/>
      <w:r w:rsidRPr="00EA0CF8">
        <w:t>analyzing</w:t>
      </w:r>
      <w:proofErr w:type="spellEnd"/>
      <w:r w:rsidRPr="00EA0CF8">
        <w:t xml:space="preserve"> both total soil samples and the &lt;63µm fine fraction to assess bioavailable contaminants). In summary, T01A’s methodology was about how to build the project safely, while T01G’s methodology was about how to investigate and </w:t>
      </w:r>
      <w:proofErr w:type="spellStart"/>
      <w:r w:rsidRPr="00EA0CF8">
        <w:t>analyze</w:t>
      </w:r>
      <w:proofErr w:type="spellEnd"/>
      <w:r w:rsidRPr="00EA0CF8">
        <w:t xml:space="preserve"> the site’s contamination.</w:t>
      </w:r>
    </w:p>
    <w:p w14:paraId="778D8FAA" w14:textId="77777777" w:rsidR="00EA0CF8" w:rsidRPr="00EA0CF8" w:rsidRDefault="00EA0CF8" w:rsidP="00EC21F1"/>
    <w:p w14:paraId="0CCD7761" w14:textId="77777777" w:rsidR="00EA0CF8" w:rsidRPr="00EA0CF8" w:rsidRDefault="00EA0CF8" w:rsidP="00EC21F1"/>
    <w:p w14:paraId="41697910" w14:textId="77777777" w:rsidR="00EA0CF8" w:rsidRPr="00EA0CF8" w:rsidRDefault="00EA0CF8" w:rsidP="00EC21F1">
      <w:pPr>
        <w:rPr>
          <w:sz w:val="27"/>
          <w:szCs w:val="27"/>
        </w:rPr>
      </w:pPr>
      <w:r w:rsidRPr="00EA0CF8">
        <w:rPr>
          <w:rFonts w:ascii="TimesNewRomanPS-BoldMT" w:hAnsi="TimesNewRomanPS-BoldMT"/>
          <w:b/>
          <w:bCs/>
          <w:sz w:val="27"/>
          <w:szCs w:val="27"/>
        </w:rPr>
        <w:t>Environmental Risk Assessment</w:t>
      </w:r>
    </w:p>
    <w:p w14:paraId="065636D4" w14:textId="77777777" w:rsidR="00EA0CF8" w:rsidRPr="00EA0CF8" w:rsidRDefault="00EA0CF8" w:rsidP="00EC21F1"/>
    <w:p w14:paraId="34821897" w14:textId="77777777" w:rsidR="00EA0CF8" w:rsidRPr="00EA0CF8" w:rsidRDefault="00EA0CF8" w:rsidP="00EC21F1"/>
    <w:p w14:paraId="7DF62DD2" w14:textId="77777777" w:rsidR="00EA0CF8" w:rsidRPr="00EA0CF8" w:rsidRDefault="00EA0CF8" w:rsidP="00EC21F1">
      <w:r w:rsidRPr="00EA0CF8">
        <w:t>T01A: Environmental risk in T01A was addressed implicitly through preventative measures. The report’s goal was to ensure the construction does not adversely affect the surrounding environment (the Waimea Inlet). T01A did not include a formal risk assessment section; instead, it listed steps to “minimise the discharge of contaminants to the marine environment”. The assumption in T01A was that by implementing a robust erosion and sediment control plan, any risk of contaminant release (e.g. disturbed pesticide residues or sediment) would be effectively mitigated. For example, T01A proposed that all runoff from disturbed areas be captured and treated (with provisions like sediment settling and carbon filtration if needed) before any water leaves the site. However, T01A did not explicitly quantify the risk or discuss pathways/receptors in detail – it did not evaluate what happens if some contaminated sediment were released, aside from saying the aim is to prevent that. Thus, T01A’s treatment of environmental risk was preventive and qualitative, assuring that with controls, significant effects on the inlet or nearby properties would be avoided.</w:t>
      </w:r>
    </w:p>
    <w:p w14:paraId="6848D0BD" w14:textId="77777777" w:rsidR="00EA0CF8" w:rsidRPr="00EA0CF8" w:rsidRDefault="00EA0CF8" w:rsidP="00EC21F1"/>
    <w:p w14:paraId="4C7CE1D0" w14:textId="77777777" w:rsidR="00EA0CF8" w:rsidRPr="00EA0CF8" w:rsidRDefault="00EA0CF8" w:rsidP="00EC21F1">
      <w:r w:rsidRPr="00EA0CF8">
        <w:t xml:space="preserve">T01G: In contrast, T01G included a dedicated Assessment of Environmental Effects section, providing a more explicit evaluation of risk and impact. Because T01G had measured contamination levels, it could </w:t>
      </w:r>
      <w:proofErr w:type="spellStart"/>
      <w:r w:rsidRPr="00EA0CF8">
        <w:t>characterize</w:t>
      </w:r>
      <w:proofErr w:type="spellEnd"/>
      <w:r w:rsidRPr="00EA0CF8">
        <w:t xml:space="preserve"> the potential effects of disturbing and removing that sediment. T01G identified both positive and negative potential effects of the project on the environment. On the positive side, it noted that the proposal would excavate ~150 tonnes of contaminated sediment from the foreshore for disposal to a proper landfill, which is a direct removal of pollutants from the inlet ecosystem. T01G stated that removing this material will have a beneficial effect on the environmental receptors in Waimea Inlet, as it eliminates a source of contamination from the coastal environment. It also pointed out an additional benefit: the new boat ramp structure will act as a cap over any remaining contaminated sediments in that area, thereby preventing their exposure or erosion.</w:t>
      </w:r>
    </w:p>
    <w:p w14:paraId="6DEFCBC4" w14:textId="77777777" w:rsidR="00EA0CF8" w:rsidRPr="00EA0CF8" w:rsidRDefault="00EA0CF8" w:rsidP="00EC21F1"/>
    <w:p w14:paraId="23690AED" w14:textId="77777777" w:rsidR="00EA0CF8" w:rsidRPr="00EA0CF8" w:rsidRDefault="00EA0CF8" w:rsidP="00EC21F1">
      <w:r w:rsidRPr="00EA0CF8">
        <w:t xml:space="preserve">On the potential negative side, T01G considered the risks during construction – chiefly, that disturbing the sediment could </w:t>
      </w:r>
      <w:proofErr w:type="spellStart"/>
      <w:r w:rsidRPr="00EA0CF8">
        <w:t>mobilize</w:t>
      </w:r>
      <w:proofErr w:type="spellEnd"/>
      <w:r w:rsidRPr="00EA0CF8">
        <w:t xml:space="preserve"> contaminants (especially fine silts/clays which could be ingested by marine organisms or carried by water). The report specifically examined the &lt;63 μm fraction of sediment, since those fine particles are most likely to spread or cause ecological harm if released. T01G likely noted that </w:t>
      </w:r>
      <w:r w:rsidRPr="00EA0CF8">
        <w:lastRenderedPageBreak/>
        <w:t>without precautions, there could be short-term impacts such as a plume of contaminated sediment or exposure of biota to DDT/</w:t>
      </w:r>
      <w:proofErr w:type="spellStart"/>
      <w:r w:rsidRPr="00EA0CF8">
        <w:t>dieldrin</w:t>
      </w:r>
      <w:proofErr w:type="spellEnd"/>
      <w:r w:rsidRPr="00EA0CF8">
        <w:t xml:space="preserve">. However, T01G concluded that these risks can be effectively managed with the proposed mitigation. It </w:t>
      </w:r>
      <w:proofErr w:type="spellStart"/>
      <w:r w:rsidRPr="00EA0CF8">
        <w:t>emphasized</w:t>
      </w:r>
      <w:proofErr w:type="spellEnd"/>
      <w:r w:rsidRPr="00EA0CF8">
        <w:t xml:space="preserve"> that the work will be done at low tide (limiting dispersal) and that any water with suspended sediment will be treated. Moreover, T01G’s conclusion was that even in a worst-case event, the dilution in the Waimea Inlet is massive, so any residual contaminants would be greatly diluted and rendered less harmful. In summary, T01G provided a more nuanced risk assessment: it explicitly stated that removing the contaminated sediment is net beneficial environmentally, and that the short-term disturbance risks are low given mitigation measures and the high capacity of the environment (tidal flows) to dilute any minor releases. This represents a more detailed environmental risk </w:t>
      </w:r>
      <w:proofErr w:type="spellStart"/>
      <w:r w:rsidRPr="00EA0CF8">
        <w:t>characterization</w:t>
      </w:r>
      <w:proofErr w:type="spellEnd"/>
      <w:r w:rsidRPr="00EA0CF8">
        <w:t xml:space="preserve"> than was present in T01A.</w:t>
      </w:r>
    </w:p>
    <w:p w14:paraId="0FD4EF28" w14:textId="77777777" w:rsidR="00EA0CF8" w:rsidRPr="00EA0CF8" w:rsidRDefault="00EA0CF8" w:rsidP="00EC21F1"/>
    <w:p w14:paraId="76E788D3" w14:textId="77777777" w:rsidR="00EA0CF8" w:rsidRPr="00EA0CF8" w:rsidRDefault="00EA0CF8" w:rsidP="00EC21F1"/>
    <w:p w14:paraId="2B7908CE" w14:textId="77777777" w:rsidR="00EA0CF8" w:rsidRPr="00EA0CF8" w:rsidRDefault="00EA0CF8" w:rsidP="00EC21F1">
      <w:pPr>
        <w:rPr>
          <w:sz w:val="27"/>
          <w:szCs w:val="27"/>
        </w:rPr>
      </w:pPr>
      <w:r w:rsidRPr="00EA0CF8">
        <w:rPr>
          <w:rFonts w:ascii="TimesNewRomanPS-BoldMT" w:hAnsi="TimesNewRomanPS-BoldMT"/>
          <w:b/>
          <w:bCs/>
          <w:sz w:val="27"/>
          <w:szCs w:val="27"/>
        </w:rPr>
        <w:t>Erosion and Sediment Control Plans (Mitigation Measures)</w:t>
      </w:r>
    </w:p>
    <w:p w14:paraId="5D538DF1" w14:textId="77777777" w:rsidR="00EA0CF8" w:rsidRPr="00EA0CF8" w:rsidRDefault="00EA0CF8" w:rsidP="00EC21F1"/>
    <w:p w14:paraId="69793ED9" w14:textId="77777777" w:rsidR="00EA0CF8" w:rsidRPr="00EA0CF8" w:rsidRDefault="00EA0CF8" w:rsidP="00EC21F1"/>
    <w:p w14:paraId="6B6D050A" w14:textId="77777777" w:rsidR="00EA0CF8" w:rsidRPr="00EA0CF8" w:rsidRDefault="00EA0CF8" w:rsidP="00EC21F1">
      <w:r w:rsidRPr="00EA0CF8">
        <w:t xml:space="preserve">T01A: Being essentially an Erosion and Sediment Control Plan (ESCP), T01A outlined comprehensive mitigation and control measures for the construction phase. It incorporated standard and site-specific controls to prevent erosion, contain sediment, and handle any contaminated materials safely. Key elements included: perimeter silt fences and bunds to catch runoff, dividing clean water from dirty water flows, settling devices (e.g. decanting earth bunds or silt traps) to remove sediment, and treatment of water before discharge. Notably, T01A anticipated that due to the site’s DDT contamination, special water treatment might be needed – it proposed a contingency to pump water through a granular activated carbon filtration system as a final polishing step, if testing showed DDT levels in the water above ecological thresholds . Solid sediments collected (for example, sludge from settling or filter media) were to be gathered and disposed of off-site at an approved facility (landfill). T01A also covered physical measures like covering exposed soil or stockpiles with tarpaulins or polymer sprays to prevent dust or runoff, working within cofferdams or during low tide to </w:t>
      </w:r>
      <w:proofErr w:type="spellStart"/>
      <w:r w:rsidRPr="00EA0CF8">
        <w:t>minimize</w:t>
      </w:r>
      <w:proofErr w:type="spellEnd"/>
      <w:r w:rsidRPr="00EA0CF8">
        <w:t xml:space="preserve"> turbidity, and having spill kits on site for any hazardous substance use. Essentially, T01A’s control plan was proactive and thorough, aiming to ensure that even though the work is on historically contaminated ground, no significant contamination leaves the site during construction.</w:t>
      </w:r>
    </w:p>
    <w:p w14:paraId="50673449" w14:textId="77777777" w:rsidR="00EA0CF8" w:rsidRPr="00EA0CF8" w:rsidRDefault="00EA0CF8" w:rsidP="00EC21F1"/>
    <w:p w14:paraId="224DC4B0" w14:textId="77777777" w:rsidR="00EA0CF8" w:rsidRPr="00EA0CF8" w:rsidRDefault="00EA0CF8" w:rsidP="00EC21F1">
      <w:r w:rsidRPr="00EA0CF8">
        <w:lastRenderedPageBreak/>
        <w:t xml:space="preserve">T01G: The T01G report did not introduce new erosion or sediment control measures but rather validated and reinforced the importance of those already in T01A. In T01G’s findings and recommendations, it is clear that the existing plan (ESC measures and handling protocols from T01A) is critical to mitigate the contamination risks identified. T01G refers to the need for robust erosion and sediment controls to be in place to prevent generating contaminated runoff. It specifically mentions measures like water capture, sediment removal via flocculation, and water treatment as part of the site management plan for the works (which aligns with what T01A proposed). In fact, T01G frequently defers to the “SMP” (Site Management Plan or Sediment Management Plan) that describes these mitigations. No substantial changes to the control plan were noted in T01G, meaning T01G did not uncover a need for entirely new mitigation measures, but it did stress that the planned controls must be diligently implemented. One update from T01G is the confirmation of how excavated materials should be handled: all contaminated sediments (~150 tonnes) are to be excavated and removed to a licensed landfill, which T01A had generally assumed (removal of “excess sand to landfill” was in the construction method) but T01G quantified this volume and necessity. Additionally, by highlighting the ramp’s role in capping residual contamination, T01G underlined that post-construction, the long-term exposure of contaminants will be </w:t>
      </w:r>
      <w:proofErr w:type="spellStart"/>
      <w:r w:rsidRPr="00EA0CF8">
        <w:t>minimized</w:t>
      </w:r>
      <w:proofErr w:type="spellEnd"/>
      <w:r w:rsidRPr="00EA0CF8">
        <w:t>. In summary, T01G supports the erosion and sediment controls outlined in T01A as adequate and necessary, with an emphasis on careful execution. There were no major new control measures added in T01G, aside from confirming details like excavation extents; the mitigation approach remained consistent (contain, remove, treat), showing that T01A’s plan was on the right track.</w:t>
      </w:r>
    </w:p>
    <w:p w14:paraId="1C7F6A8F" w14:textId="77777777" w:rsidR="00EA0CF8" w:rsidRPr="00EA0CF8" w:rsidRDefault="00EA0CF8" w:rsidP="00EC21F1"/>
    <w:p w14:paraId="5F27A286" w14:textId="77777777" w:rsidR="00EA0CF8" w:rsidRPr="00EA0CF8" w:rsidRDefault="00EA0CF8" w:rsidP="00EC21F1"/>
    <w:p w14:paraId="0E92DFD3" w14:textId="77777777" w:rsidR="00EA0CF8" w:rsidRPr="00EA0CF8" w:rsidRDefault="00EA0CF8" w:rsidP="00EC21F1">
      <w:pPr>
        <w:rPr>
          <w:sz w:val="27"/>
          <w:szCs w:val="27"/>
        </w:rPr>
      </w:pPr>
      <w:r w:rsidRPr="00EA0CF8">
        <w:rPr>
          <w:rFonts w:ascii="TimesNewRomanPS-BoldMT" w:hAnsi="TimesNewRomanPS-BoldMT"/>
          <w:b/>
          <w:bCs/>
          <w:sz w:val="27"/>
          <w:szCs w:val="27"/>
        </w:rPr>
        <w:t>Key Findings and Conclusions</w:t>
      </w:r>
    </w:p>
    <w:p w14:paraId="33A15FC5" w14:textId="77777777" w:rsidR="00EA0CF8" w:rsidRPr="00EA0CF8" w:rsidRDefault="00EA0CF8" w:rsidP="00EC21F1"/>
    <w:p w14:paraId="50E3D24C" w14:textId="77777777" w:rsidR="00EA0CF8" w:rsidRPr="00EA0CF8" w:rsidRDefault="00EA0CF8" w:rsidP="00EC21F1"/>
    <w:p w14:paraId="4F077D42" w14:textId="77777777" w:rsidR="00EA0CF8" w:rsidRPr="00EA0CF8" w:rsidRDefault="00EA0CF8" w:rsidP="00EC21F1">
      <w:r w:rsidRPr="00EA0CF8">
        <w:t xml:space="preserve">T01A: The primary conclusion one can draw from T01A is that the construction can proceed safely with respect to environmental contamination as long as the outlined controls are in place. T01A’s narrative implies that if the contractor follows the erosion and sediment control plan, the risk of contaminant release is minimal and acceptable. It didn’t explicitly state final conclusions about contamination levels (since it had not assessed them directly), but it provided assurance that known contamination will be managed (through measures like treatment of water and proper disposal of soils). Essentially, T01A’s “finding” was that a properly managed construction methodology will prevent significant adverse effects on the estuary and surrounding areas. Any </w:t>
      </w:r>
      <w:r w:rsidRPr="00EA0CF8">
        <w:lastRenderedPageBreak/>
        <w:t>contamination present at the site was to remain controlled on-site or be removed as part of the works.</w:t>
      </w:r>
    </w:p>
    <w:p w14:paraId="6D5D2A09" w14:textId="77777777" w:rsidR="00EA0CF8" w:rsidRPr="00EA0CF8" w:rsidRDefault="00EA0CF8" w:rsidP="00EC21F1"/>
    <w:p w14:paraId="2A228C0A" w14:textId="77777777" w:rsidR="00EA0CF8" w:rsidRPr="00EA0CF8" w:rsidRDefault="00EA0CF8" w:rsidP="00EC21F1">
      <w:r w:rsidRPr="00EA0CF8">
        <w:t xml:space="preserve">T01G: The T01G supplementary report delivered several important new findings that were not in T01A. First, it confirmed the presence and extent of contamination with hard data – a finding that the foreshore sediments in the project area contain elevated levels of DDT (and breakdown products) and </w:t>
      </w:r>
      <w:proofErr w:type="spellStart"/>
      <w:r w:rsidRPr="00EA0CF8">
        <w:t>dieldrin</w:t>
      </w:r>
      <w:proofErr w:type="spellEnd"/>
      <w:r w:rsidRPr="00EA0CF8">
        <w:t>. This finding underscored why the mitigation in T01A is necessary. Second, T01G concluded that the project, as planned, will not only manage the contamination but actually improve the environmental condition: by removing a substantial amount of contaminated sediment from the coastal environment, the project reduces future contamination exposure. T01G explicitly concludes that the disturbance and removal of the sediment will have a net positive outcome for the inlet’s health. Third, T01G finds that any residual contamination risk (from sediments that remain or from the disturbance itself) will be mitigated to acceptable levels. The conclusion is bolstered by the rationale that the enormous dilution capacity of the tidal flows will attenuate any minor discharges. In other words, T01G’s overall assessment is that the project can be carried out without significant harm, and with proper controls it will likely result in an environmental benefit (by cleaning up historical contamination at the ramp site).</w:t>
      </w:r>
    </w:p>
    <w:p w14:paraId="0A631D59" w14:textId="77777777" w:rsidR="00EA0CF8" w:rsidRPr="00EA0CF8" w:rsidRDefault="00EA0CF8" w:rsidP="00EC21F1"/>
    <w:p w14:paraId="17699E46" w14:textId="77777777" w:rsidR="00EA0CF8" w:rsidRPr="00EA0CF8" w:rsidRDefault="00EA0CF8" w:rsidP="00EC21F1">
      <w:r w:rsidRPr="00EA0CF8">
        <w:t xml:space="preserve">In comparing the two: T01A provided the plan and commitment to manage contamination, while T01G provided the evidence and reasoning that this plan is effective and beneficial. T01G did not contradict T01A’s approach but rather enhanced the understanding of the site conditions and reinforced the need for the measures T01A proposed. The significant differences lie in the level of detail and confidence about contamination: T01A was a precautionary plan based on general expectations of contaminants, whereas T01G offered concrete data and a risk evaluation confirming that with the plan’s measures, the contamination issues will be addressed and the environment protected. All additional investigations and analyses presented in T01G ultimately support the conclusion that the </w:t>
      </w:r>
      <w:proofErr w:type="spellStart"/>
      <w:r w:rsidRPr="00EA0CF8">
        <w:t>Mapua</w:t>
      </w:r>
      <w:proofErr w:type="spellEnd"/>
      <w:r w:rsidRPr="00EA0CF8">
        <w:t xml:space="preserve"> Boat Ramp can be constructed in a manner that is environmentally sound, provided the contamination control plan is rigorously implemented as outlined.</w:t>
      </w:r>
    </w:p>
    <w:p w14:paraId="49E9AD15" w14:textId="77777777" w:rsidR="00EA0CF8" w:rsidRPr="00EA0CF8" w:rsidRDefault="00EA0CF8" w:rsidP="00EC21F1"/>
    <w:p w14:paraId="24A1EDAD" w14:textId="77777777" w:rsidR="00EA0CF8" w:rsidRPr="00EA0CF8" w:rsidRDefault="00EA0CF8" w:rsidP="00EC21F1">
      <w:r w:rsidRPr="00EA0CF8">
        <w:t xml:space="preserve">Sources: T01A Construction Methodology &amp; Erosion and Sediment Control Plan Overview (G. Stevenson, 30 Jan 2025); T01G Supplementary Detailed Site Investigation (G. </w:t>
      </w:r>
      <w:proofErr w:type="spellStart"/>
      <w:r w:rsidRPr="00EA0CF8">
        <w:t>Oddy</w:t>
      </w:r>
      <w:proofErr w:type="spellEnd"/>
      <w:r w:rsidRPr="00EA0CF8">
        <w:t>, 14 Apr 2025). </w:t>
      </w:r>
    </w:p>
    <w:p w14:paraId="7327C0AA" w14:textId="77777777" w:rsidR="00EA0CF8" w:rsidRPr="00EA0CF8" w:rsidRDefault="00EA0CF8" w:rsidP="00EC21F1">
      <w:pPr>
        <w:divId w:val="193885790"/>
        <w:rPr>
          <w:rFonts w:ascii="UICTFontTextStyleTallBody" w:eastAsia="Times New Roman" w:hAnsi="UICTFontTextStyleTallBody"/>
          <w:sz w:val="35"/>
          <w:szCs w:val="35"/>
        </w:rPr>
      </w:pPr>
      <w:r w:rsidRPr="00EA0CF8">
        <w:rPr>
          <w:rFonts w:ascii="UICTFontTextStyleTallBody" w:eastAsia="Times New Roman" w:hAnsi="UICTFontTextStyleTallBody"/>
          <w:sz w:val="35"/>
          <w:szCs w:val="35"/>
        </w:rPr>
        <w:lastRenderedPageBreak/>
        <w:br/>
      </w:r>
    </w:p>
    <w:p w14:paraId="57172A26" w14:textId="77777777" w:rsidR="00EA0CF8" w:rsidRPr="00EA0CF8" w:rsidRDefault="00EA0CF8" w:rsidP="00EA0CF8">
      <w:pPr>
        <w:spacing w:after="0" w:line="240" w:lineRule="auto"/>
        <w:rPr>
          <w:rFonts w:ascii="Times New Roman" w:eastAsia="Times New Roman" w:hAnsi="Times New Roman" w:cs="Times New Roman"/>
          <w:kern w:val="0"/>
          <w14:ligatures w14:val="none"/>
        </w:rPr>
      </w:pPr>
    </w:p>
    <w:p w14:paraId="5512726F" w14:textId="77777777" w:rsidR="00EA0CF8" w:rsidRDefault="00EA0CF8"/>
    <w:sectPr w:rsidR="00EA0C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NewRomanPS-BoldMT">
    <w:altName w:val="Times New Roman"/>
    <w:panose1 w:val="020B0604020202020204"/>
    <w:charset w:val="00"/>
    <w:family w:val="roman"/>
    <w:pitch w:val="default"/>
  </w:font>
  <w:font w:name="UICTFontTextStyleTallBody">
    <w:altName w:val="Cambria"/>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CF8"/>
    <w:rsid w:val="000D5A22"/>
    <w:rsid w:val="00122E52"/>
    <w:rsid w:val="00573EE2"/>
    <w:rsid w:val="00EA0CF8"/>
    <w:rsid w:val="00EC21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527676B2"/>
  <w15:chartTrackingRefBased/>
  <w15:docId w15:val="{67EDEA36-7252-9946-A010-68C0613AD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0C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0C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0C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0C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0C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0C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C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C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C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C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0C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0C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0C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0C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0C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C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C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CF8"/>
    <w:rPr>
      <w:rFonts w:eastAsiaTheme="majorEastAsia" w:cstheme="majorBidi"/>
      <w:color w:val="272727" w:themeColor="text1" w:themeTint="D8"/>
    </w:rPr>
  </w:style>
  <w:style w:type="paragraph" w:styleId="Title">
    <w:name w:val="Title"/>
    <w:basedOn w:val="Normal"/>
    <w:next w:val="Normal"/>
    <w:link w:val="TitleChar"/>
    <w:uiPriority w:val="10"/>
    <w:qFormat/>
    <w:rsid w:val="00EA0C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C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C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C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CF8"/>
    <w:pPr>
      <w:spacing w:before="160"/>
      <w:jc w:val="center"/>
    </w:pPr>
    <w:rPr>
      <w:i/>
      <w:iCs/>
      <w:color w:val="404040" w:themeColor="text1" w:themeTint="BF"/>
    </w:rPr>
  </w:style>
  <w:style w:type="character" w:customStyle="1" w:styleId="QuoteChar">
    <w:name w:val="Quote Char"/>
    <w:basedOn w:val="DefaultParagraphFont"/>
    <w:link w:val="Quote"/>
    <w:uiPriority w:val="29"/>
    <w:rsid w:val="00EA0CF8"/>
    <w:rPr>
      <w:i/>
      <w:iCs/>
      <w:color w:val="404040" w:themeColor="text1" w:themeTint="BF"/>
    </w:rPr>
  </w:style>
  <w:style w:type="paragraph" w:styleId="ListParagraph">
    <w:name w:val="List Paragraph"/>
    <w:basedOn w:val="Normal"/>
    <w:uiPriority w:val="34"/>
    <w:qFormat/>
    <w:rsid w:val="00EA0CF8"/>
    <w:pPr>
      <w:ind w:left="720"/>
      <w:contextualSpacing/>
    </w:pPr>
  </w:style>
  <w:style w:type="character" w:styleId="IntenseEmphasis">
    <w:name w:val="Intense Emphasis"/>
    <w:basedOn w:val="DefaultParagraphFont"/>
    <w:uiPriority w:val="21"/>
    <w:qFormat/>
    <w:rsid w:val="00EA0CF8"/>
    <w:rPr>
      <w:i/>
      <w:iCs/>
      <w:color w:val="0F4761" w:themeColor="accent1" w:themeShade="BF"/>
    </w:rPr>
  </w:style>
  <w:style w:type="paragraph" w:styleId="IntenseQuote">
    <w:name w:val="Intense Quote"/>
    <w:basedOn w:val="Normal"/>
    <w:next w:val="Normal"/>
    <w:link w:val="IntenseQuoteChar"/>
    <w:uiPriority w:val="30"/>
    <w:qFormat/>
    <w:rsid w:val="00EA0C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0CF8"/>
    <w:rPr>
      <w:i/>
      <w:iCs/>
      <w:color w:val="0F4761" w:themeColor="accent1" w:themeShade="BF"/>
    </w:rPr>
  </w:style>
  <w:style w:type="character" w:styleId="IntenseReference">
    <w:name w:val="Intense Reference"/>
    <w:basedOn w:val="DefaultParagraphFont"/>
    <w:uiPriority w:val="32"/>
    <w:qFormat/>
    <w:rsid w:val="00EA0CF8"/>
    <w:rPr>
      <w:b/>
      <w:bCs/>
      <w:smallCaps/>
      <w:color w:val="0F4761" w:themeColor="accent1" w:themeShade="BF"/>
      <w:spacing w:val="5"/>
    </w:rPr>
  </w:style>
  <w:style w:type="paragraph" w:styleId="NormalWeb">
    <w:name w:val="Normal (Web)"/>
    <w:basedOn w:val="Normal"/>
    <w:uiPriority w:val="99"/>
    <w:semiHidden/>
    <w:unhideWhenUsed/>
    <w:rsid w:val="00EA0CF8"/>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8579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2288</Words>
  <Characters>13045</Characters>
  <Application>Microsoft Office Word</Application>
  <DocSecurity>0</DocSecurity>
  <Lines>108</Lines>
  <Paragraphs>30</Paragraphs>
  <ScaleCrop>false</ScaleCrop>
  <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Ashby</dc:creator>
  <cp:keywords/>
  <dc:description/>
  <cp:lastModifiedBy>M Ashby</cp:lastModifiedBy>
  <cp:revision>2</cp:revision>
  <dcterms:created xsi:type="dcterms:W3CDTF">2025-05-06T20:13:00Z</dcterms:created>
  <dcterms:modified xsi:type="dcterms:W3CDTF">2025-05-06T20:13:00Z</dcterms:modified>
</cp:coreProperties>
</file>